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0.0 -->
  <w:body>
    <w:p>
      <w:pPr>
        <w:spacing w:before="0" w:after="0"/>
        <w:jc w:val="center"/>
      </w:pPr>
      <w:r>
        <w:rPr>
          <w:rFonts w:ascii="Arial" w:eastAsia="Arial" w:hAnsi="Arial" w:cs="Arial"/>
          <w:b/>
          <w:bCs/>
        </w:rPr>
        <w:t>RHONDDA CYNON TAF COUNTY BOROUGH COUNCIL</w:t>
      </w:r>
    </w:p>
    <w:p>
      <w:pPr>
        <w:spacing w:before="0"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>
      <w:pPr>
        <w:spacing w:before="0" w:after="0"/>
        <w:jc w:val="center"/>
      </w:pPr>
      <w:r>
        <w:rPr>
          <w:rFonts w:ascii="Arial" w:eastAsia="Arial" w:hAnsi="Arial" w:cs="Arial"/>
          <w:b/>
          <w:bCs/>
        </w:rPr>
        <w:t>JOB DESCRIPTION</w:t>
      </w:r>
    </w:p>
    <w:p>
      <w:pPr>
        <w:spacing w:before="0" w:after="20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714"/>
        <w:gridCol w:w="6290"/>
      </w:tblGrid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keepNext/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</w:rPr>
              <w:t>Group:</w:t>
            </w:r>
          </w:p>
        </w:tc>
        <w:tc>
          <w:tcPr>
            <w:tcW w:w="6074" w:type="dxa"/>
            <w:tcBorders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20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EDUCATION AND LIFELONG LEARNING GROUP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20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</w:rPr>
              <w:t>Section: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20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Access and Inclusion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20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</w:rPr>
              <w:t>Sub Section: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20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Ty Gwyn Education Centre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20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</w:rPr>
              <w:t>Post Title: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ind w:left="720" w:hanging="72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HLTA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20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</w:rPr>
              <w:t>Vision Post No: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20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</w:rPr>
              <w:t>Grade: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20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GR7 plus Special Class Allowance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20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</w:rPr>
              <w:t>Reporting to: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20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Head of Alternative Learning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20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</w:rPr>
              <w:t>Location: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20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Old Library, Pontypridd (primary site) but flexible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20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</w:rPr>
              <w:t>Date of Description: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20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September 2022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20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</w:rPr>
              <w:t>Terms and Conditions: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20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32.5 hours, Term Time only, LGPS</w:t>
            </w:r>
          </w:p>
        </w:tc>
      </w:tr>
    </w:tbl>
    <w:p>
      <w:pPr>
        <w:spacing w:before="0" w:after="0"/>
        <w:ind w:left="720" w:hanging="7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>
      <w:pPr>
        <w:spacing w:before="0" w:after="0"/>
        <w:rPr>
          <w:rFonts w:ascii="Arial" w:eastAsia="Arial" w:hAnsi="Arial" w:cs="Arial"/>
          <w:b/>
          <w:bCs/>
          <w:sz w:val="24"/>
          <w:szCs w:val="24"/>
        </w:rPr>
      </w:pPr>
    </w:p>
    <w:p>
      <w:pPr>
        <w:spacing w:before="0" w:after="0"/>
        <w:jc w:val="center"/>
      </w:pPr>
      <w:r>
        <w:rPr>
          <w:rFonts w:ascii="Arial" w:eastAsia="Arial" w:hAnsi="Arial" w:cs="Arial"/>
          <w:b/>
          <w:bCs/>
        </w:rPr>
        <w:t>JOB PURPOSE</w:t>
      </w:r>
    </w:p>
    <w:p>
      <w:pPr>
        <w:spacing w:before="0" w:after="0"/>
        <w:rPr>
          <w:rFonts w:ascii="Arial" w:eastAsia="Arial" w:hAnsi="Arial" w:cs="Arial"/>
          <w:b/>
          <w:bCs/>
          <w:sz w:val="24"/>
          <w:szCs w:val="24"/>
        </w:rPr>
      </w:pPr>
    </w:p>
    <w:p>
      <w:pPr>
        <w:spacing w:before="0" w:after="0"/>
        <w:jc w:val="both"/>
      </w:pPr>
      <w:r>
        <w:rPr>
          <w:rFonts w:ascii="Arial" w:eastAsia="Arial" w:hAnsi="Arial" w:cs="Arial"/>
        </w:rPr>
        <w:t>To provide social, emotional and personalised support to learners who are Educated Other than at School (EOTAS). This includes children and young people who may learn from home or in a group tuition setting based at the Old Library. Individual support programmes and strategies to increase engagement, health, wellbeing and personal progress are the primary focus of this role.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The role may also involve planning, preparing and delivering learning activities for individuals/small groups, including monitoring pupils and recording progress and development. The post is a vital link between tuition staff, Ty Gwyn EOTAS staff and requires excellent communication skills, accuracy and strong time management skills.</w:t>
      </w:r>
    </w:p>
    <w:p>
      <w:pPr>
        <w:spacing w:before="0" w:after="0"/>
        <w:jc w:val="both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jc w:val="center"/>
      </w:pPr>
      <w:r>
        <w:rPr>
          <w:rFonts w:ascii="Arial" w:eastAsia="Arial" w:hAnsi="Arial" w:cs="Arial"/>
          <w:b/>
          <w:bCs/>
        </w:rPr>
        <w:t>JOB DESCRIPTION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</w:pPr>
      <w:r>
        <w:rPr>
          <w:rFonts w:ascii="Arial" w:eastAsia="Arial" w:hAnsi="Arial" w:cs="Arial"/>
          <w:b/>
          <w:bCs/>
        </w:rPr>
        <w:t>Support for Learners</w:t>
      </w:r>
    </w:p>
    <w:p>
      <w:pPr>
        <w:numPr>
          <w:ilvl w:val="0"/>
          <w:numId w:val="1"/>
        </w:numPr>
        <w:pBdr>
          <w:left w:val="none" w:sz="0" w:space="11" w:color="auto"/>
        </w:pBdr>
        <w:spacing w:before="0"/>
        <w:ind w:left="436" w:right="0" w:hanging="512"/>
        <w:jc w:val="left"/>
      </w:pPr>
      <w:r>
        <w:rPr>
          <w:rFonts w:ascii="Arial" w:eastAsia="Arial" w:hAnsi="Arial" w:cs="Arial"/>
        </w:rPr>
        <w:t xml:space="preserve">Assess the needs of learners and use detailed knowledge and specialist skills to support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engagement and social and emotional development</w:t>
      </w:r>
    </w:p>
    <w:p>
      <w:pPr>
        <w:numPr>
          <w:ilvl w:val="0"/>
          <w:numId w:val="1"/>
        </w:numPr>
        <w:pBdr>
          <w:left w:val="none" w:sz="0" w:space="11" w:color="auto"/>
        </w:pBdr>
        <w:ind w:left="436" w:right="0" w:hanging="512"/>
        <w:jc w:val="left"/>
      </w:pPr>
      <w:r>
        <w:rPr>
          <w:rFonts w:ascii="Arial" w:eastAsia="Arial" w:hAnsi="Arial" w:cs="Arial"/>
        </w:rPr>
        <w:t>Establish productive working relationships with learners, acting as a role model and setting high expectations</w:t>
      </w:r>
    </w:p>
    <w:p>
      <w:pPr>
        <w:numPr>
          <w:ilvl w:val="0"/>
          <w:numId w:val="1"/>
        </w:numPr>
        <w:pBdr>
          <w:left w:val="none" w:sz="0" w:space="11" w:color="auto"/>
        </w:pBdr>
        <w:ind w:left="436" w:right="0" w:hanging="512"/>
        <w:jc w:val="left"/>
      </w:pPr>
      <w:r>
        <w:rPr>
          <w:rFonts w:ascii="Arial" w:eastAsia="Arial" w:hAnsi="Arial" w:cs="Arial"/>
        </w:rPr>
        <w:t>Develop existing IDPs where required</w:t>
      </w:r>
    </w:p>
    <w:p>
      <w:pPr>
        <w:numPr>
          <w:ilvl w:val="0"/>
          <w:numId w:val="1"/>
        </w:numPr>
        <w:pBdr>
          <w:left w:val="none" w:sz="0" w:space="11" w:color="auto"/>
        </w:pBdr>
        <w:ind w:left="436" w:right="0" w:hanging="512"/>
        <w:jc w:val="left"/>
      </w:pPr>
      <w:r>
        <w:rPr>
          <w:rFonts w:ascii="Arial" w:eastAsia="Arial" w:hAnsi="Arial" w:cs="Arial"/>
        </w:rPr>
        <w:t>Promote the inclusion and acceptance of all learners within their setting</w:t>
      </w:r>
    </w:p>
    <w:p>
      <w:pPr>
        <w:numPr>
          <w:ilvl w:val="0"/>
          <w:numId w:val="1"/>
        </w:numPr>
        <w:pBdr>
          <w:left w:val="none" w:sz="0" w:space="11" w:color="auto"/>
        </w:pBdr>
        <w:ind w:left="436" w:right="0" w:hanging="512"/>
        <w:jc w:val="left"/>
      </w:pPr>
      <w:r>
        <w:rPr>
          <w:rFonts w:ascii="Arial" w:eastAsia="Arial" w:hAnsi="Arial" w:cs="Arial"/>
        </w:rPr>
        <w:t xml:space="preserve">Support learners consistently whilst recognising and responding to their individual needs </w:t>
      </w:r>
    </w:p>
    <w:p>
      <w:pPr>
        <w:numPr>
          <w:ilvl w:val="0"/>
          <w:numId w:val="1"/>
        </w:numPr>
        <w:pBdr>
          <w:left w:val="none" w:sz="0" w:space="11" w:color="auto"/>
        </w:pBdr>
        <w:ind w:left="436" w:right="0" w:hanging="512"/>
        <w:jc w:val="left"/>
      </w:pPr>
      <w:r>
        <w:rPr>
          <w:rFonts w:ascii="Arial" w:eastAsia="Arial" w:hAnsi="Arial" w:cs="Arial"/>
        </w:rPr>
        <w:t>Encourage learners to interact and work co-operatively with others</w:t>
      </w:r>
    </w:p>
    <w:p>
      <w:pPr>
        <w:numPr>
          <w:ilvl w:val="0"/>
          <w:numId w:val="1"/>
        </w:numPr>
        <w:pBdr>
          <w:left w:val="none" w:sz="0" w:space="11" w:color="auto"/>
        </w:pBdr>
        <w:ind w:left="436" w:right="0" w:hanging="512"/>
        <w:jc w:val="left"/>
      </w:pPr>
      <w:r>
        <w:rPr>
          <w:rFonts w:ascii="Arial" w:eastAsia="Arial" w:hAnsi="Arial" w:cs="Arial"/>
        </w:rPr>
        <w:t>Promote independence and develop study skills and a solution based outlook</w:t>
      </w:r>
    </w:p>
    <w:p>
      <w:pPr>
        <w:numPr>
          <w:ilvl w:val="0"/>
          <w:numId w:val="1"/>
        </w:numPr>
        <w:pBdr>
          <w:left w:val="none" w:sz="0" w:space="11" w:color="auto"/>
        </w:pBdr>
        <w:ind w:left="436" w:right="0" w:hanging="512"/>
        <w:jc w:val="left"/>
      </w:pPr>
      <w:r>
        <w:rPr>
          <w:rFonts w:ascii="Arial" w:eastAsia="Arial" w:hAnsi="Arial" w:cs="Arial"/>
        </w:rPr>
        <w:t>Provide feedback to learners in relation to progress and achievement</w:t>
      </w:r>
    </w:p>
    <w:p>
      <w:pPr>
        <w:numPr>
          <w:ilvl w:val="0"/>
          <w:numId w:val="1"/>
        </w:numPr>
        <w:pBdr>
          <w:left w:val="none" w:sz="0" w:space="11" w:color="auto"/>
        </w:pBdr>
        <w:spacing w:after="0"/>
        <w:ind w:left="436" w:right="0" w:hanging="512"/>
        <w:jc w:val="left"/>
      </w:pPr>
      <w:r>
        <w:rPr>
          <w:rFonts w:ascii="Arial" w:eastAsia="Arial" w:hAnsi="Arial" w:cs="Arial"/>
        </w:rPr>
        <w:t>Establish and maintain appropriate strategies to promote pro-social engagement and behaviour</w:t>
      </w:r>
    </w:p>
    <w:p>
      <w:pPr>
        <w:spacing w:before="0" w:after="0"/>
        <w:rPr>
          <w:rFonts w:ascii="Arial" w:eastAsia="Arial" w:hAnsi="Arial" w:cs="Arial"/>
          <w:b/>
          <w:bCs/>
          <w:sz w:val="24"/>
          <w:szCs w:val="24"/>
        </w:rPr>
      </w:pPr>
    </w:p>
    <w:p>
      <w:pPr>
        <w:spacing w:before="0" w:after="0"/>
      </w:pPr>
      <w:r>
        <w:rPr>
          <w:rFonts w:ascii="Arial" w:eastAsia="Arial" w:hAnsi="Arial" w:cs="Arial"/>
          <w:b/>
          <w:bCs/>
        </w:rPr>
        <w:t>Support for the Teacher</w:t>
      </w:r>
    </w:p>
    <w:p>
      <w:pPr>
        <w:numPr>
          <w:ilvl w:val="0"/>
          <w:numId w:val="2"/>
        </w:numPr>
        <w:pBdr>
          <w:left w:val="none" w:sz="0" w:space="11" w:color="auto"/>
        </w:pBdr>
        <w:spacing w:before="0"/>
        <w:ind w:left="436" w:right="0" w:hanging="512"/>
        <w:jc w:val="left"/>
      </w:pPr>
      <w:r>
        <w:rPr>
          <w:rFonts w:ascii="Arial" w:eastAsia="Arial" w:hAnsi="Arial" w:cs="Arial"/>
        </w:rPr>
        <w:t>Organise and manage appropriate learning environment and resources</w:t>
      </w:r>
    </w:p>
    <w:p>
      <w:pPr>
        <w:numPr>
          <w:ilvl w:val="0"/>
          <w:numId w:val="2"/>
        </w:numPr>
        <w:pBdr>
          <w:left w:val="none" w:sz="0" w:space="11" w:color="auto"/>
        </w:pBdr>
        <w:ind w:left="436" w:right="884" w:hanging="512"/>
        <w:jc w:val="left"/>
      </w:pPr>
      <w:r>
        <w:rPr>
          <w:rFonts w:ascii="Arial" w:eastAsia="Arial" w:hAnsi="Arial" w:cs="Arial"/>
        </w:rPr>
        <w:t xml:space="preserve">Within an agreed system of supervision, plan challenging teaching and learning objectives to evaluate and adjust lessons/work plans as appropriate </w:t>
      </w:r>
    </w:p>
    <w:p>
      <w:pPr>
        <w:numPr>
          <w:ilvl w:val="0"/>
          <w:numId w:val="2"/>
        </w:numPr>
        <w:pBdr>
          <w:left w:val="none" w:sz="0" w:space="11" w:color="auto"/>
        </w:pBdr>
        <w:ind w:left="436" w:right="0" w:hanging="512"/>
        <w:jc w:val="left"/>
      </w:pPr>
      <w:r>
        <w:rPr>
          <w:rFonts w:ascii="Arial" w:eastAsia="Arial" w:hAnsi="Arial" w:cs="Arial"/>
        </w:rPr>
        <w:t>Monitor and evaluate learner responses to learning activities through a range of assessment and monitoring strategies against pre-determined learning objectives</w:t>
      </w:r>
    </w:p>
    <w:p>
      <w:pPr>
        <w:numPr>
          <w:ilvl w:val="0"/>
          <w:numId w:val="2"/>
        </w:numPr>
        <w:pBdr>
          <w:left w:val="none" w:sz="0" w:space="11" w:color="auto"/>
        </w:pBdr>
        <w:ind w:left="436" w:right="0" w:hanging="512"/>
        <w:jc w:val="left"/>
      </w:pPr>
      <w:r>
        <w:rPr>
          <w:rFonts w:ascii="Arial" w:eastAsia="Arial" w:hAnsi="Arial" w:cs="Arial"/>
        </w:rPr>
        <w:t>Provide objective and accurate feedback and reports as required on learner achievement, progress and other matters, ensuring the availability of appropriate evidence</w:t>
      </w:r>
    </w:p>
    <w:p>
      <w:pPr>
        <w:numPr>
          <w:ilvl w:val="0"/>
          <w:numId w:val="2"/>
        </w:numPr>
        <w:pBdr>
          <w:left w:val="none" w:sz="0" w:space="11" w:color="auto"/>
        </w:pBdr>
        <w:ind w:left="436" w:right="0" w:hanging="512"/>
        <w:jc w:val="left"/>
      </w:pPr>
      <w:r>
        <w:rPr>
          <w:rFonts w:ascii="Arial" w:eastAsia="Arial" w:hAnsi="Arial" w:cs="Arial"/>
        </w:rPr>
        <w:t>Record progress and achievement in lessons/activities systematically and providing evidence of range and level of progress and attainment</w:t>
      </w:r>
    </w:p>
    <w:p>
      <w:pPr>
        <w:numPr>
          <w:ilvl w:val="0"/>
          <w:numId w:val="2"/>
        </w:numPr>
        <w:pBdr>
          <w:left w:val="none" w:sz="0" w:space="11" w:color="auto"/>
        </w:pBdr>
        <w:ind w:left="436" w:right="0" w:hanging="512"/>
        <w:jc w:val="left"/>
      </w:pPr>
      <w:r>
        <w:rPr>
          <w:rFonts w:ascii="Arial" w:eastAsia="Arial" w:hAnsi="Arial" w:cs="Arial"/>
        </w:rPr>
        <w:t>Work within an established policy to anticipate and manage learners constructively, promoting self-regulation and independence</w:t>
      </w:r>
    </w:p>
    <w:p>
      <w:pPr>
        <w:numPr>
          <w:ilvl w:val="0"/>
          <w:numId w:val="2"/>
        </w:numPr>
        <w:pBdr>
          <w:left w:val="none" w:sz="0" w:space="11" w:color="auto"/>
        </w:pBdr>
        <w:ind w:left="436" w:right="0" w:hanging="512"/>
        <w:jc w:val="left"/>
      </w:pPr>
      <w:r>
        <w:rPr>
          <w:rFonts w:ascii="Arial" w:eastAsia="Arial" w:hAnsi="Arial" w:cs="Arial"/>
        </w:rPr>
        <w:t>Supporting the role of parents/carers in learning and contribute to/lead meetings with parents/carers to provide constructive feedback on progress/achievement etc.</w:t>
      </w:r>
    </w:p>
    <w:p>
      <w:pPr>
        <w:numPr>
          <w:ilvl w:val="0"/>
          <w:numId w:val="2"/>
        </w:numPr>
        <w:pBdr>
          <w:left w:val="none" w:sz="0" w:space="11" w:color="auto"/>
        </w:pBdr>
        <w:ind w:left="436" w:right="0" w:hanging="512"/>
        <w:jc w:val="left"/>
      </w:pPr>
      <w:r>
        <w:rPr>
          <w:rFonts w:ascii="Arial" w:eastAsia="Arial" w:hAnsi="Arial" w:cs="Arial"/>
        </w:rPr>
        <w:t>Administer and assess/mark tests and invigilate exams/tests</w:t>
      </w:r>
    </w:p>
    <w:p>
      <w:pPr>
        <w:numPr>
          <w:ilvl w:val="0"/>
          <w:numId w:val="2"/>
        </w:numPr>
        <w:pBdr>
          <w:left w:val="none" w:sz="0" w:space="11" w:color="auto"/>
        </w:pBdr>
        <w:spacing w:after="0"/>
        <w:ind w:left="436" w:right="0" w:hanging="512"/>
        <w:jc w:val="left"/>
      </w:pPr>
      <w:r>
        <w:rPr>
          <w:rFonts w:ascii="Arial" w:eastAsia="Arial" w:hAnsi="Arial" w:cs="Arial"/>
        </w:rPr>
        <w:t>Production of session or lesson plans and appropriate evaluations</w:t>
      </w:r>
    </w:p>
    <w:p>
      <w:pPr>
        <w:spacing w:before="0" w:after="0"/>
        <w:rPr>
          <w:rFonts w:ascii="Arial" w:eastAsia="Arial" w:hAnsi="Arial" w:cs="Arial"/>
          <w:b/>
          <w:bCs/>
          <w:sz w:val="24"/>
          <w:szCs w:val="24"/>
        </w:rPr>
      </w:pPr>
    </w:p>
    <w:p>
      <w:pPr>
        <w:spacing w:before="0" w:after="0"/>
        <w:ind w:left="993" w:hanging="993"/>
      </w:pPr>
      <w:r>
        <w:rPr>
          <w:rFonts w:ascii="Arial" w:eastAsia="Arial" w:hAnsi="Arial" w:cs="Arial"/>
          <w:b/>
          <w:bCs/>
        </w:rPr>
        <w:t>Support for the Curriculum</w:t>
      </w:r>
    </w:p>
    <w:p>
      <w:pPr>
        <w:numPr>
          <w:ilvl w:val="0"/>
          <w:numId w:val="3"/>
        </w:numPr>
        <w:pBdr>
          <w:left w:val="none" w:sz="0" w:space="11" w:color="auto"/>
        </w:pBdr>
        <w:spacing w:before="0"/>
        <w:ind w:left="436" w:right="0" w:hanging="512"/>
        <w:jc w:val="left"/>
      </w:pPr>
      <w:r>
        <w:rPr>
          <w:rFonts w:ascii="Arial" w:eastAsia="Arial" w:hAnsi="Arial" w:cs="Arial"/>
        </w:rPr>
        <w:t>Deliver appropriate activities to learner within an agreed system of supervision, adjusting activities dynamically</w:t>
      </w:r>
    </w:p>
    <w:p>
      <w:pPr>
        <w:numPr>
          <w:ilvl w:val="0"/>
          <w:numId w:val="3"/>
        </w:numPr>
        <w:pBdr>
          <w:left w:val="none" w:sz="0" w:space="11" w:color="auto"/>
        </w:pBdr>
        <w:ind w:left="436" w:right="0" w:hanging="512"/>
        <w:jc w:val="left"/>
      </w:pPr>
      <w:r>
        <w:rPr>
          <w:rFonts w:ascii="Arial" w:eastAsia="Arial" w:hAnsi="Arial" w:cs="Arial"/>
        </w:rPr>
        <w:t>Focus on local and national initiatives around learner social and emotional develop emotional, keeping up to date with the latest developments</w:t>
      </w:r>
    </w:p>
    <w:p>
      <w:pPr>
        <w:numPr>
          <w:ilvl w:val="0"/>
          <w:numId w:val="3"/>
        </w:numPr>
        <w:pBdr>
          <w:left w:val="none" w:sz="0" w:space="11" w:color="auto"/>
        </w:pBdr>
        <w:ind w:left="436" w:right="0" w:hanging="512"/>
        <w:jc w:val="left"/>
      </w:pPr>
      <w:r>
        <w:rPr>
          <w:rFonts w:ascii="Arial" w:eastAsia="Arial" w:hAnsi="Arial" w:cs="Arial"/>
        </w:rPr>
        <w:t>Use ICT effectively to support learning activities and develop learners’ competence and independence in its use</w:t>
      </w:r>
    </w:p>
    <w:p>
      <w:pPr>
        <w:numPr>
          <w:ilvl w:val="0"/>
          <w:numId w:val="3"/>
        </w:numPr>
        <w:pBdr>
          <w:left w:val="none" w:sz="0" w:space="11" w:color="auto"/>
        </w:pBdr>
        <w:ind w:left="436" w:right="0" w:hanging="512"/>
        <w:jc w:val="left"/>
      </w:pPr>
      <w:r>
        <w:rPr>
          <w:rFonts w:ascii="Arial" w:eastAsia="Arial" w:hAnsi="Arial" w:cs="Arial"/>
        </w:rPr>
        <w:t>Select and prepare resources necessary to lead activities, taking account of learners’ interests and language and cultural backgrounds</w:t>
      </w:r>
    </w:p>
    <w:p>
      <w:pPr>
        <w:numPr>
          <w:ilvl w:val="0"/>
          <w:numId w:val="3"/>
        </w:numPr>
        <w:pBdr>
          <w:left w:val="none" w:sz="0" w:space="11" w:color="auto"/>
        </w:pBdr>
        <w:spacing w:after="0"/>
        <w:ind w:left="436" w:right="0" w:hanging="512"/>
        <w:jc w:val="left"/>
      </w:pPr>
      <w:r>
        <w:rPr>
          <w:rFonts w:ascii="Arial" w:eastAsia="Arial" w:hAnsi="Arial" w:cs="Arial"/>
        </w:rPr>
        <w:t>Advise on appropriate deployment and use of specialist aid/resources/equipment</w:t>
      </w:r>
    </w:p>
    <w:p>
      <w:pPr>
        <w:spacing w:before="0" w:after="0"/>
        <w:ind w:left="720" w:hanging="72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ind w:left="426" w:hanging="426"/>
      </w:pPr>
      <w:r>
        <w:rPr>
          <w:rFonts w:ascii="Arial" w:eastAsia="Arial" w:hAnsi="Arial" w:cs="Arial"/>
          <w:b/>
          <w:bCs/>
        </w:rPr>
        <w:t>Support for the School</w:t>
      </w:r>
    </w:p>
    <w:p>
      <w:pPr>
        <w:numPr>
          <w:ilvl w:val="0"/>
          <w:numId w:val="4"/>
        </w:numPr>
        <w:pBdr>
          <w:left w:val="none" w:sz="0" w:space="11" w:color="auto"/>
        </w:pBdr>
        <w:spacing w:before="0"/>
        <w:ind w:left="720" w:right="0" w:hanging="512"/>
        <w:jc w:val="left"/>
      </w:pPr>
      <w:r>
        <w:rPr>
          <w:rFonts w:ascii="Arial" w:eastAsia="Arial" w:hAnsi="Arial" w:cs="Arial"/>
        </w:rPr>
        <w:t>Comply with and assist with the development of policies and procedures relating to child safeguarding</w:t>
      </w:r>
    </w:p>
    <w:p>
      <w:pPr>
        <w:numPr>
          <w:ilvl w:val="0"/>
          <w:numId w:val="4"/>
        </w:numPr>
        <w:pBdr>
          <w:left w:val="none" w:sz="0" w:space="11" w:color="auto"/>
        </w:pBdr>
        <w:ind w:left="720" w:right="0" w:hanging="512"/>
        <w:jc w:val="left"/>
      </w:pPr>
      <w:r>
        <w:rPr>
          <w:rFonts w:ascii="Arial" w:eastAsia="Arial" w:hAnsi="Arial" w:cs="Arial"/>
        </w:rPr>
        <w:t xml:space="preserve">Be aware of and support </w:t>
      </w:r>
      <w:bookmarkStart w:id="0" w:name="_Int_S389k0wf"/>
      <w:r>
        <w:rPr>
          <w:rFonts w:ascii="Arial" w:eastAsia="Arial" w:hAnsi="Arial" w:cs="Arial"/>
        </w:rPr>
        <w:t>diversity</w:t>
      </w:r>
      <w:bookmarkEnd w:id="0"/>
      <w:r>
        <w:rPr>
          <w:rFonts w:ascii="Arial" w:eastAsia="Arial" w:hAnsi="Arial" w:cs="Arial"/>
        </w:rPr>
        <w:t xml:space="preserve"> and ensure all learners have equal access to opportunities to learn and develop</w:t>
      </w:r>
    </w:p>
    <w:p>
      <w:pPr>
        <w:numPr>
          <w:ilvl w:val="0"/>
          <w:numId w:val="4"/>
        </w:numPr>
        <w:pBdr>
          <w:left w:val="none" w:sz="0" w:space="11" w:color="auto"/>
        </w:pBdr>
        <w:ind w:left="720" w:right="0" w:hanging="512"/>
        <w:jc w:val="left"/>
      </w:pPr>
      <w:r>
        <w:rPr>
          <w:rFonts w:ascii="Arial" w:eastAsia="Arial" w:hAnsi="Arial" w:cs="Arial"/>
        </w:rPr>
        <w:t>Contribute to the overall ethos/work/aims of Ty Gwyn Education Centre</w:t>
      </w:r>
    </w:p>
    <w:p>
      <w:pPr>
        <w:numPr>
          <w:ilvl w:val="0"/>
          <w:numId w:val="4"/>
        </w:numPr>
        <w:pBdr>
          <w:left w:val="none" w:sz="0" w:space="11" w:color="auto"/>
        </w:pBdr>
        <w:ind w:left="720" w:right="0" w:hanging="512"/>
        <w:jc w:val="left"/>
      </w:pPr>
      <w:r>
        <w:rPr>
          <w:rFonts w:ascii="Arial" w:eastAsia="Arial" w:hAnsi="Arial" w:cs="Arial"/>
        </w:rPr>
        <w:t>Establish constructive relationships and communicate with other agencies/professionals, in liaison with other staff as appropriate</w:t>
      </w:r>
    </w:p>
    <w:p>
      <w:pPr>
        <w:numPr>
          <w:ilvl w:val="0"/>
          <w:numId w:val="4"/>
        </w:numPr>
        <w:pBdr>
          <w:left w:val="none" w:sz="0" w:space="11" w:color="auto"/>
        </w:pBdr>
        <w:ind w:left="720" w:right="0" w:hanging="512"/>
        <w:jc w:val="left"/>
      </w:pPr>
      <w:r>
        <w:rPr>
          <w:rFonts w:ascii="Arial" w:eastAsia="Arial" w:hAnsi="Arial" w:cs="Arial"/>
        </w:rPr>
        <w:t>Recognise personal strengths and areas of specialist expertise and use these to lead, advise and support others</w:t>
      </w:r>
    </w:p>
    <w:p>
      <w:pPr>
        <w:numPr>
          <w:ilvl w:val="0"/>
          <w:numId w:val="4"/>
        </w:numPr>
        <w:pBdr>
          <w:left w:val="none" w:sz="0" w:space="11" w:color="auto"/>
        </w:pBdr>
        <w:spacing w:after="0"/>
        <w:ind w:left="720" w:right="0" w:hanging="512"/>
        <w:jc w:val="left"/>
      </w:pPr>
      <w:r>
        <w:rPr>
          <w:rFonts w:ascii="Arial" w:eastAsia="Arial" w:hAnsi="Arial" w:cs="Arial"/>
        </w:rPr>
        <w:t>Deliver out of school learning activities within guidelines established by the school</w:t>
      </w:r>
    </w:p>
    <w:p>
      <w:pPr>
        <w:numPr>
          <w:ilvl w:val="0"/>
          <w:numId w:val="5"/>
        </w:numPr>
        <w:pBdr>
          <w:left w:val="none" w:sz="0" w:space="11" w:color="auto"/>
        </w:pBdr>
        <w:spacing w:before="0" w:after="0"/>
        <w:ind w:left="720" w:right="0" w:hanging="512"/>
        <w:jc w:val="left"/>
      </w:pPr>
      <w:r>
        <w:rPr>
          <w:rFonts w:ascii="Arial" w:eastAsia="Arial" w:hAnsi="Arial" w:cs="Arial"/>
        </w:rPr>
        <w:t>Contribute to the identification and execution of appropriate out of school learning activities which consolidate and extend work carried out in the setting or school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</w:pPr>
      <w:r>
        <w:rPr>
          <w:rFonts w:ascii="Arial" w:eastAsia="Arial" w:hAnsi="Arial" w:cs="Arial"/>
        </w:rPr>
        <w:t>To carry out health and safety responsibilities in accordance with the Division’s Health and Safety Responsibilities document.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</w:pPr>
      <w:r>
        <w:rPr>
          <w:rFonts w:ascii="Arial" w:eastAsia="Arial" w:hAnsi="Arial" w:cs="Arial"/>
        </w:rPr>
        <w:t>To undertake such other duties and responsibilities commensurate with the grade, as may reasonably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required by the Service Director, or as mutually agreed as a development opportunity.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jc w:val="both"/>
      </w:pPr>
      <w:r>
        <w:rPr>
          <w:rFonts w:ascii="Arial" w:eastAsia="Arial" w:hAnsi="Arial" w:cs="Arial"/>
          <w:i/>
          <w:iCs/>
        </w:rPr>
        <w:t>The contents of this document will be subject to review from time to time in consultation with the post holder.</w:t>
      </w:r>
      <w:r>
        <w:rPr>
          <w:rFonts w:ascii="Arial" w:eastAsia="Arial" w:hAnsi="Arial" w:cs="Arial"/>
          <w:i/>
          <w:iCs/>
        </w:rPr>
        <w:t xml:space="preserve">  </w:t>
      </w:r>
      <w:r>
        <w:rPr>
          <w:rFonts w:ascii="Arial" w:eastAsia="Arial" w:hAnsi="Arial" w:cs="Arial"/>
          <w:i/>
          <w:iCs/>
        </w:rPr>
        <w:t>Job descriptions may be amended to reflect and record such changes.</w:t>
      </w:r>
    </w:p>
    <w:p>
      <w:pPr>
        <w:spacing w:before="0" w:after="0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Arial" w:eastAsia="Arial" w:hAnsi="Arial" w:cs="Arial"/>
          <w:i/>
          <w:iCs/>
        </w:rPr>
        <w:t>Protecting children and vulnerable adults is a core responsibility of all staff.</w:t>
      </w:r>
      <w:r>
        <w:rPr>
          <w:rFonts w:ascii="Arial" w:eastAsia="Arial" w:hAnsi="Arial" w:cs="Arial"/>
          <w:i/>
          <w:iCs/>
        </w:rPr>
        <w:t xml:space="preserve">  </w:t>
      </w:r>
      <w:r>
        <w:rPr>
          <w:rFonts w:ascii="Arial" w:eastAsia="Arial" w:hAnsi="Arial" w:cs="Arial"/>
          <w:i/>
          <w:iCs/>
        </w:rPr>
        <w:t>Staff are expected to alert their line manager to any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</w:rPr>
        <w:t>concerns they may have regarding the abuse or inappropriate treatment of a child or young person, or vulnerable adult.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</w:pPr>
      <w:r>
        <w:br w:type="page"/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ind w:left="993" w:hanging="993"/>
        <w:jc w:val="center"/>
      </w:pPr>
      <w:r>
        <w:rPr>
          <w:rFonts w:ascii="Arial" w:eastAsia="Arial" w:hAnsi="Arial" w:cs="Arial"/>
          <w:b/>
          <w:bCs/>
        </w:rPr>
        <w:t>PERSON SPECIFICATION</w:t>
      </w:r>
    </w:p>
    <w:p>
      <w:pPr>
        <w:spacing w:before="0" w:after="0"/>
        <w:ind w:left="993" w:hanging="993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>
      <w:pPr>
        <w:spacing w:before="0" w:after="0"/>
        <w:jc w:val="both"/>
      </w:pPr>
      <w:r>
        <w:rPr>
          <w:rFonts w:ascii="Arial" w:eastAsia="Arial" w:hAnsi="Arial" w:cs="Arial"/>
          <w:i/>
          <w:iCs/>
        </w:rPr>
        <w:t>This Person Specification sets out the knowledge and/or qualifications, past experience and personal competencies that would be ideal for this particular post</w:t>
      </w:r>
    </w:p>
    <w:p>
      <w:pPr>
        <w:spacing w:before="0" w:after="0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>
      <w:pPr>
        <w:spacing w:before="0" w:after="0"/>
        <w:jc w:val="both"/>
      </w:pPr>
      <w:r>
        <w:rPr>
          <w:rFonts w:ascii="Arial" w:eastAsia="Arial" w:hAnsi="Arial" w:cs="Arial"/>
          <w:b/>
          <w:bCs/>
          <w:i/>
          <w:iCs/>
        </w:rPr>
        <w:t xml:space="preserve">The </w:t>
      </w:r>
      <w:r>
        <w:rPr>
          <w:rFonts w:ascii="Arial" w:eastAsia="Arial" w:hAnsi="Arial" w:cs="Arial"/>
          <w:i/>
          <w:iCs/>
        </w:rPr>
        <w:t xml:space="preserve">Knowledge/Qualifications and Experience </w:t>
      </w:r>
      <w:r>
        <w:rPr>
          <w:rFonts w:ascii="Arial" w:eastAsia="Arial" w:hAnsi="Arial" w:cs="Arial"/>
          <w:b/>
          <w:bCs/>
          <w:i/>
          <w:iCs/>
        </w:rPr>
        <w:t>sections describe what is required in terms of the technical ability that is needed to do this job successfully.</w:t>
      </w:r>
    </w:p>
    <w:p>
      <w:pPr>
        <w:spacing w:before="0" w:after="0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>
      <w:pPr>
        <w:spacing w:before="0" w:after="0"/>
        <w:jc w:val="both"/>
      </w:pPr>
      <w:r>
        <w:rPr>
          <w:rFonts w:ascii="Arial" w:eastAsia="Arial" w:hAnsi="Arial" w:cs="Arial"/>
          <w:b/>
          <w:bCs/>
          <w:i/>
          <w:iCs/>
        </w:rPr>
        <w:t xml:space="preserve">The </w:t>
      </w:r>
      <w:r>
        <w:rPr>
          <w:rFonts w:ascii="Arial" w:eastAsia="Arial" w:hAnsi="Arial" w:cs="Arial"/>
          <w:i/>
          <w:iCs/>
        </w:rPr>
        <w:t>Competencies</w:t>
      </w:r>
      <w:r>
        <w:rPr>
          <w:rFonts w:ascii="Arial" w:eastAsia="Arial" w:hAnsi="Arial" w:cs="Arial"/>
          <w:b/>
          <w:bCs/>
          <w:i/>
          <w:iCs/>
        </w:rPr>
        <w:t xml:space="preserve"> section describes the kinds of non-technical skills, abilities and personal characteristics that the ideal person for this particular role would have.</w:t>
      </w:r>
      <w:r>
        <w:rPr>
          <w:rFonts w:ascii="Arial" w:eastAsia="Arial" w:hAnsi="Arial" w:cs="Arial"/>
          <w:b/>
          <w:bCs/>
          <w:i/>
          <w:iCs/>
        </w:rPr>
        <w:t xml:space="preserve">  </w:t>
      </w:r>
      <w:r>
        <w:rPr>
          <w:rFonts w:ascii="Arial" w:eastAsia="Arial" w:hAnsi="Arial" w:cs="Arial"/>
          <w:b/>
          <w:bCs/>
          <w:i/>
          <w:iCs/>
        </w:rPr>
        <w:t>The competencies describe how that person would ideally work with other people and how they would approach their responsibilities.</w:t>
      </w:r>
    </w:p>
    <w:p>
      <w:pPr>
        <w:spacing w:before="0" w:after="0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>
      <w:pPr>
        <w:spacing w:before="0" w:after="0"/>
        <w:jc w:val="both"/>
      </w:pPr>
      <w:r>
        <w:rPr>
          <w:rFonts w:ascii="Arial" w:eastAsia="Arial" w:hAnsi="Arial" w:cs="Arial"/>
          <w:b/>
          <w:bCs/>
          <w:i/>
          <w:iCs/>
        </w:rPr>
        <w:t xml:space="preserve">The </w:t>
      </w:r>
      <w:r>
        <w:rPr>
          <w:rFonts w:ascii="Arial" w:eastAsia="Arial" w:hAnsi="Arial" w:cs="Arial"/>
          <w:i/>
          <w:iCs/>
        </w:rPr>
        <w:t>Special Conditions and Professional Requirements</w:t>
      </w:r>
      <w:r>
        <w:rPr>
          <w:rFonts w:ascii="Arial" w:eastAsia="Arial" w:hAnsi="Arial" w:cs="Arial"/>
          <w:b/>
          <w:bCs/>
          <w:i/>
          <w:iCs/>
        </w:rPr>
        <w:t xml:space="preserve"> section describes any other qualities appropriate to the particular circumstances associated with this role.</w:t>
      </w:r>
    </w:p>
    <w:p>
      <w:pPr>
        <w:spacing w:before="0" w:after="0"/>
        <w:ind w:left="993" w:hanging="993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>
      <w:pPr>
        <w:spacing w:before="0" w:after="0"/>
        <w:ind w:left="993" w:hanging="993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583"/>
        <w:gridCol w:w="8603"/>
      </w:tblGrid>
      <w:tr>
        <w:tblPrEx>
          <w:tblW w:w="102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</w:rPr>
              <w:t>Knowledge/ Education</w:t>
            </w:r>
          </w:p>
          <w:p>
            <w:pPr>
              <w:spacing w:before="0" w:after="0"/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numPr>
                <w:ilvl w:val="0"/>
                <w:numId w:val="6"/>
              </w:numPr>
              <w:pBdr>
                <w:left w:val="none" w:sz="0" w:space="11" w:color="auto"/>
              </w:pBdr>
              <w:spacing w:before="0"/>
              <w:ind w:left="720" w:right="0" w:hanging="512"/>
              <w:jc w:val="lef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Meet Higher Level Teaching Assistant standards or equivalent qualification or experience</w:t>
            </w:r>
          </w:p>
          <w:p>
            <w:pPr>
              <w:numPr>
                <w:ilvl w:val="0"/>
                <w:numId w:val="6"/>
              </w:numPr>
              <w:pBdr>
                <w:left w:val="none" w:sz="0" w:space="11" w:color="auto"/>
              </w:pBdr>
              <w:ind w:left="720" w:right="0" w:hanging="512"/>
              <w:jc w:val="lef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Excellent numeracy/literacy skills – equivalent to NVQ Level 2 in English and Maths</w:t>
            </w:r>
          </w:p>
          <w:p>
            <w:pPr>
              <w:numPr>
                <w:ilvl w:val="0"/>
                <w:numId w:val="6"/>
              </w:numPr>
              <w:pBdr>
                <w:left w:val="none" w:sz="0" w:space="11" w:color="auto"/>
              </w:pBdr>
              <w:ind w:left="720" w:right="0" w:hanging="512"/>
              <w:jc w:val="lef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Full working knowledge of relevant polices/codes of practice/legislation Good understanding of child development and learning processes</w:t>
            </w:r>
          </w:p>
          <w:p>
            <w:pPr>
              <w:numPr>
                <w:ilvl w:val="0"/>
                <w:numId w:val="6"/>
              </w:numPr>
              <w:pBdr>
                <w:left w:val="none" w:sz="0" w:space="11" w:color="auto"/>
              </w:pBdr>
              <w:spacing w:after="0"/>
              <w:ind w:left="720" w:right="0" w:hanging="512"/>
              <w:jc w:val="lef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Understanding of statutory frameworks relating to teaching</w:t>
            </w:r>
          </w:p>
          <w:p>
            <w:pPr>
              <w:spacing w:before="0" w:after="0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W w:w="1020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</w:rPr>
              <w:t>Experience</w:t>
            </w:r>
          </w:p>
          <w:p>
            <w:pPr>
              <w:spacing w:before="0" w:after="0"/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numPr>
                <w:ilvl w:val="0"/>
                <w:numId w:val="7"/>
              </w:numPr>
              <w:pBdr>
                <w:left w:val="none" w:sz="0" w:space="11" w:color="auto"/>
              </w:pBdr>
              <w:spacing w:before="0" w:after="0"/>
              <w:ind w:left="720" w:right="0" w:hanging="512"/>
              <w:jc w:val="lef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Substantial experience working with children of relevant age in a demanding learning environment</w:t>
            </w:r>
          </w:p>
          <w:p>
            <w:pPr>
              <w:spacing w:before="0" w:after="0"/>
              <w:ind w:left="720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  <w:p>
            <w:pPr>
              <w:numPr>
                <w:ilvl w:val="0"/>
                <w:numId w:val="8"/>
              </w:numPr>
              <w:pBdr>
                <w:left w:val="none" w:sz="0" w:space="11" w:color="auto"/>
              </w:pBdr>
              <w:spacing w:before="0"/>
              <w:ind w:left="720" w:right="0" w:hanging="512"/>
              <w:jc w:val="lef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Experience of using ICT effectively to support learning</w:t>
            </w:r>
          </w:p>
          <w:p>
            <w:pPr>
              <w:numPr>
                <w:ilvl w:val="0"/>
                <w:numId w:val="8"/>
              </w:numPr>
              <w:pBdr>
                <w:left w:val="none" w:sz="0" w:space="11" w:color="auto"/>
              </w:pBdr>
              <w:ind w:left="720" w:right="0" w:hanging="512"/>
              <w:jc w:val="lef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Experience of providing raining in relevant learning strategies e.g. literacy</w:t>
            </w:r>
          </w:p>
          <w:p>
            <w:pPr>
              <w:numPr>
                <w:ilvl w:val="0"/>
                <w:numId w:val="8"/>
              </w:numPr>
              <w:pBdr>
                <w:left w:val="none" w:sz="0" w:space="11" w:color="auto"/>
              </w:pBdr>
              <w:ind w:left="720" w:right="0" w:hanging="512"/>
              <w:jc w:val="lef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Specialist skills/training in curriculum or learning area e.g. bi-lingual, sign language, ICT</w:t>
            </w:r>
          </w:p>
          <w:p>
            <w:pPr>
              <w:numPr>
                <w:ilvl w:val="0"/>
                <w:numId w:val="8"/>
              </w:numPr>
              <w:pBdr>
                <w:left w:val="none" w:sz="0" w:space="11" w:color="auto"/>
              </w:pBdr>
              <w:ind w:left="720" w:right="0" w:hanging="512"/>
              <w:jc w:val="lef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Experience and training in managing behaviour, social and emotional challenges</w:t>
            </w:r>
          </w:p>
          <w:p>
            <w:pPr>
              <w:numPr>
                <w:ilvl w:val="0"/>
                <w:numId w:val="8"/>
              </w:numPr>
              <w:pBdr>
                <w:left w:val="none" w:sz="0" w:space="11" w:color="auto"/>
              </w:pBdr>
              <w:ind w:left="720" w:right="0" w:hanging="512"/>
              <w:jc w:val="lef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Working knowledge and experience of implementing appropriate curriculum and other relevant learning programmes/strategies</w:t>
            </w:r>
          </w:p>
          <w:p>
            <w:pPr>
              <w:numPr>
                <w:ilvl w:val="0"/>
                <w:numId w:val="8"/>
              </w:numPr>
              <w:pBdr>
                <w:left w:val="none" w:sz="0" w:space="11" w:color="auto"/>
              </w:pBdr>
              <w:spacing w:after="0"/>
              <w:ind w:left="720" w:right="0" w:hanging="512"/>
              <w:jc w:val="lef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Constantly improve own practice/knowledge through self-evaluation and learning from others</w:t>
            </w:r>
          </w:p>
          <w:p>
            <w:pPr>
              <w:spacing w:before="0" w:after="0"/>
              <w:ind w:left="720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</w:tbl>
    <w:p>
      <w:pPr>
        <w:keepNext/>
        <w:spacing w:before="0" w:after="0"/>
        <w:rPr>
          <w:rFonts w:ascii="Arial" w:eastAsia="Arial" w:hAnsi="Arial" w:cs="Arial"/>
          <w:b/>
          <w:bCs/>
          <w:sz w:val="24"/>
          <w:szCs w:val="24"/>
        </w:rPr>
      </w:pPr>
    </w:p>
    <w:p>
      <w:pPr>
        <w:spacing w:before="0" w:after="0"/>
      </w:pPr>
      <w:r>
        <w:rPr>
          <w:rFonts w:ascii="Arial" w:eastAsia="Arial" w:hAnsi="Arial" w:cs="Arial"/>
          <w:b/>
          <w:bCs/>
        </w:rPr>
        <w:t xml:space="preserve"> 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583"/>
        <w:gridCol w:w="5757"/>
      </w:tblGrid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8" w:type="dxa"/>
            <w:tcBorders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</w:rPr>
              <w:t>COMPETENCIES</w:t>
            </w:r>
          </w:p>
          <w:p>
            <w:pPr>
              <w:spacing w:before="0" w:after="0"/>
              <w:jc w:val="both"/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numPr>
                <w:ilvl w:val="0"/>
                <w:numId w:val="9"/>
              </w:numPr>
              <w:tabs>
                <w:tab w:val="left" w:pos="660"/>
              </w:tabs>
              <w:spacing w:before="0" w:after="0"/>
              <w:ind w:left="1020" w:right="0" w:hanging="660"/>
              <w:jc w:val="both"/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</w:rPr>
              <w:t>Working with Team Members</w:t>
            </w:r>
          </w:p>
          <w:p>
            <w:pPr>
              <w:spacing w:before="0" w:after="0"/>
              <w:jc w:val="both"/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jc w:val="both"/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jc w:val="both"/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jc w:val="both"/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ind w:left="360"/>
              <w:jc w:val="both"/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ind w:left="360"/>
              <w:jc w:val="both"/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ind w:left="360"/>
              <w:jc w:val="both"/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numPr>
                <w:ilvl w:val="0"/>
                <w:numId w:val="10"/>
              </w:numPr>
              <w:tabs>
                <w:tab w:val="left" w:pos="660"/>
              </w:tabs>
              <w:spacing w:before="0" w:after="0"/>
              <w:ind w:left="1020" w:right="0" w:hanging="660"/>
              <w:jc w:val="both"/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</w:rPr>
              <w:t>Communicating Effectively</w:t>
            </w:r>
          </w:p>
          <w:p>
            <w:pPr>
              <w:spacing w:before="0" w:after="0"/>
              <w:jc w:val="both"/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jc w:val="both"/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ind w:left="360"/>
              <w:jc w:val="both"/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ind w:left="360"/>
              <w:jc w:val="both"/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ind w:left="360"/>
              <w:jc w:val="both"/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ind w:left="360"/>
              <w:jc w:val="both"/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numPr>
                <w:ilvl w:val="0"/>
                <w:numId w:val="11"/>
              </w:numPr>
              <w:spacing w:before="0" w:after="0"/>
              <w:ind w:left="600" w:right="0" w:hanging="300"/>
              <w:jc w:val="both"/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</w:rPr>
              <w:t>Earning the trust of Service Users.</w:t>
            </w:r>
          </w:p>
          <w:p>
            <w:pPr>
              <w:spacing w:before="0" w:after="0"/>
              <w:ind w:left="360"/>
              <w:jc w:val="both"/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ind w:left="360"/>
              <w:jc w:val="both"/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jc w:val="both"/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jc w:val="both"/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numPr>
                <w:ilvl w:val="0"/>
                <w:numId w:val="12"/>
              </w:numPr>
              <w:spacing w:before="0" w:after="0"/>
              <w:ind w:left="600" w:right="0" w:hanging="300"/>
              <w:jc w:val="both"/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</w:rPr>
              <w:t>Working with Change</w:t>
            </w:r>
          </w:p>
          <w:p>
            <w:pPr>
              <w:spacing w:before="0" w:after="0"/>
              <w:jc w:val="both"/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jc w:val="both"/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numPr>
                <w:ilvl w:val="0"/>
                <w:numId w:val="13"/>
              </w:numPr>
              <w:spacing w:before="0" w:after="0"/>
              <w:ind w:left="600" w:right="0" w:hanging="300"/>
              <w:jc w:val="both"/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</w:rPr>
              <w:t>Achieving Results</w:t>
            </w:r>
          </w:p>
          <w:p>
            <w:pPr>
              <w:spacing w:before="0" w:after="0"/>
              <w:ind w:left="360"/>
              <w:jc w:val="both"/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jc w:val="both"/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jc w:val="both"/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numPr>
                <w:ilvl w:val="0"/>
                <w:numId w:val="14"/>
              </w:numPr>
              <w:spacing w:before="0" w:after="0"/>
              <w:ind w:left="600" w:right="0" w:hanging="300"/>
              <w:jc w:val="both"/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</w:rPr>
              <w:t>Encouraging Professional Development</w:t>
            </w:r>
          </w:p>
          <w:p>
            <w:pPr>
              <w:spacing w:before="0" w:after="0"/>
              <w:ind w:left="360"/>
              <w:jc w:val="both"/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numPr>
                <w:ilvl w:val="0"/>
                <w:numId w:val="15"/>
              </w:numPr>
              <w:spacing w:before="0" w:after="0"/>
              <w:ind w:left="600" w:right="0" w:hanging="300"/>
              <w:jc w:val="both"/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</w:rPr>
              <w:t>Complying with Health and Safety</w:t>
            </w:r>
          </w:p>
          <w:p>
            <w:pPr>
              <w:spacing w:before="0" w:after="0"/>
              <w:jc w:val="both"/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jc w:val="both"/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jc w:val="both"/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5832" w:type="dxa"/>
            <w:tcBorders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jc w:val="both"/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</w:rPr>
              <w:t>Builds lasting, positive and supportive relationships based on trust</w:t>
            </w:r>
          </w:p>
          <w:p>
            <w:pPr>
              <w:spacing w:before="0" w:after="0"/>
              <w:jc w:val="both"/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</w:rPr>
              <w:t>Contributes to a strong team spirit of shared responsibility and co-operation</w:t>
            </w:r>
          </w:p>
          <w:p>
            <w:pPr>
              <w:spacing w:before="0" w:after="0"/>
              <w:jc w:val="both"/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</w:rPr>
              <w:t>Promotes and demonstrates an ethos of equality and diversity</w:t>
            </w:r>
          </w:p>
          <w:p>
            <w:pPr>
              <w:spacing w:before="0" w:after="0"/>
              <w:jc w:val="both"/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</w:rPr>
              <w:t>Communicates clearly and concisely</w:t>
            </w:r>
          </w:p>
          <w:p>
            <w:pPr>
              <w:spacing w:before="0" w:after="0"/>
              <w:jc w:val="both"/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</w:rPr>
              <w:t>Genuinely listens to others’ views, openly considering what they are saying</w:t>
            </w:r>
          </w:p>
          <w:p>
            <w:pPr>
              <w:spacing w:before="0" w:after="0"/>
              <w:jc w:val="both"/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</w:rPr>
              <w:t>Produces clear, accurate and up-to-date reports and records</w:t>
            </w: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</w:rPr>
              <w:t>.</w:t>
            </w: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</w:rPr>
              <w:t>Is person centred and empathic in responding to individuals’ emotional and psychological well-being</w:t>
            </w:r>
          </w:p>
          <w:p>
            <w:pPr>
              <w:spacing w:before="0" w:after="0"/>
              <w:jc w:val="both"/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</w:rPr>
              <w:t>Establishing two way communication that respects the rights and beliefs of the individual e.g. rapport.</w:t>
            </w: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</w:rPr>
              <w:t>.</w:t>
            </w: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</w:rPr>
              <w:t>Is willing to try and effectively adopt new ways of working and is flexible to them</w:t>
            </w: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</w:rPr>
              <w:t>.</w:t>
            </w: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</w:rPr>
              <w:t>Is able to work effectively when under pressure</w:t>
            </w:r>
          </w:p>
          <w:p>
            <w:pPr>
              <w:spacing w:before="0" w:after="0"/>
              <w:jc w:val="both"/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</w:rPr>
              <w:t>Meets all key deadlines</w:t>
            </w: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</w:rPr>
              <w:t xml:space="preserve">. </w:t>
            </w: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</w:rPr>
              <w:t>Continually actively reviews their own development,</w:t>
            </w:r>
            <w:r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</w:rPr>
              <w:t>identifying opportunities to progress</w:t>
            </w:r>
          </w:p>
          <w:p>
            <w:pPr>
              <w:spacing w:before="0" w:after="0"/>
              <w:jc w:val="both"/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jc w:val="both"/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</w:rPr>
              <w:t>Is aware of all relevant H &amp; S procedures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8" w:type="dxa"/>
            <w:tcBorders>
              <w:top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/>
                <w:iCs/>
                <w:smallCaps w:val="0"/>
                <w:color w:val="000000"/>
              </w:rPr>
              <w:t>SPECIAL CONDITIONS AND PROFESSIONAL REQUIREMENTS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  <w:sz w:val="24"/>
                <w:szCs w:val="24"/>
              </w:rPr>
            </w:pP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mallCaps w:val="0"/>
                <w:color w:val="000000"/>
              </w:rPr>
              <w:t xml:space="preserve">Membership of EWC from April 2016. </w:t>
            </w:r>
          </w:p>
        </w:tc>
      </w:tr>
    </w:tbl>
    <w:p>
      <w:pPr>
        <w:spacing w:before="0" w:after="0"/>
        <w:rPr>
          <w:rFonts w:ascii="Arial" w:eastAsia="Arial" w:hAnsi="Arial" w:cs="Arial"/>
          <w:b/>
          <w:bCs/>
          <w:sz w:val="24"/>
          <w:szCs w:val="24"/>
        </w:rPr>
      </w:pP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sectPr>
      <w:type w:val="oddPage"/>
      <w:pgSz w:w="11906" w:h="16838"/>
      <w:pgMar w:top="567" w:right="567" w:bottom="567" w:left="1134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multilevel"/>
    <w:tmpl w:val="0000000F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